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514" w:rsidRDefault="00970514" w:rsidP="0097051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0"/>
          <w:szCs w:val="20"/>
        </w:rPr>
        <w:t>Catálogo de Garantías</w:t>
      </w:r>
    </w:p>
    <w:p w:rsidR="00970514" w:rsidRDefault="00970514" w:rsidP="0097051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laconcuadrcula"/>
        <w:tblW w:w="10502" w:type="dxa"/>
        <w:tblInd w:w="-714" w:type="dxa"/>
        <w:tblLook w:val="04A0" w:firstRow="1" w:lastRow="0" w:firstColumn="1" w:lastColumn="0" w:noHBand="0" w:noVBand="1"/>
      </w:tblPr>
      <w:tblGrid>
        <w:gridCol w:w="1825"/>
        <w:gridCol w:w="1719"/>
        <w:gridCol w:w="3828"/>
        <w:gridCol w:w="3130"/>
      </w:tblGrid>
      <w:tr w:rsidR="00970514" w:rsidRPr="008D41CD" w:rsidTr="00970514">
        <w:tc>
          <w:tcPr>
            <w:tcW w:w="1825" w:type="dxa"/>
            <w:shd w:val="clear" w:color="auto" w:fill="BFBFBF" w:themeFill="background1" w:themeFillShade="BF"/>
          </w:tcPr>
          <w:p w:rsidR="00970514" w:rsidRPr="008D41CD" w:rsidRDefault="00970514" w:rsidP="008B0B88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8D41CD">
              <w:rPr>
                <w:rFonts w:ascii="Arial Black" w:hAnsi="Arial Black" w:cs="Arial"/>
                <w:sz w:val="16"/>
                <w:szCs w:val="16"/>
              </w:rPr>
              <w:t>Tipos y Elementos de la Garantía</w:t>
            </w:r>
          </w:p>
        </w:tc>
        <w:tc>
          <w:tcPr>
            <w:tcW w:w="1719" w:type="dxa"/>
            <w:shd w:val="clear" w:color="auto" w:fill="BFBFBF" w:themeFill="background1" w:themeFillShade="BF"/>
          </w:tcPr>
          <w:p w:rsidR="00970514" w:rsidRPr="008D41CD" w:rsidRDefault="00970514" w:rsidP="008B0B88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8D41CD">
              <w:rPr>
                <w:rFonts w:ascii="Arial Black" w:hAnsi="Arial Black" w:cs="Arial"/>
                <w:sz w:val="16"/>
                <w:szCs w:val="16"/>
              </w:rPr>
              <w:t>Valor de Aceptación</w:t>
            </w:r>
          </w:p>
        </w:tc>
        <w:tc>
          <w:tcPr>
            <w:tcW w:w="3828" w:type="dxa"/>
            <w:shd w:val="clear" w:color="auto" w:fill="BFBFBF" w:themeFill="background1" w:themeFillShade="BF"/>
          </w:tcPr>
          <w:p w:rsidR="00970514" w:rsidRPr="008D41CD" w:rsidRDefault="00970514" w:rsidP="008B0B8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8D41CD">
              <w:rPr>
                <w:rFonts w:ascii="Arial Black" w:hAnsi="Arial Black"/>
                <w:sz w:val="16"/>
                <w:szCs w:val="16"/>
              </w:rPr>
              <w:t>Formalización</w:t>
            </w:r>
          </w:p>
        </w:tc>
        <w:tc>
          <w:tcPr>
            <w:tcW w:w="3127" w:type="dxa"/>
            <w:shd w:val="clear" w:color="auto" w:fill="BFBFBF" w:themeFill="background1" w:themeFillShade="BF"/>
          </w:tcPr>
          <w:p w:rsidR="00970514" w:rsidRPr="008D41CD" w:rsidRDefault="00970514" w:rsidP="008B0B8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8D41CD">
              <w:rPr>
                <w:rFonts w:ascii="Arial Black" w:hAnsi="Arial Black"/>
                <w:sz w:val="16"/>
                <w:szCs w:val="16"/>
              </w:rPr>
              <w:t>Exigibilidad</w:t>
            </w:r>
          </w:p>
        </w:tc>
      </w:tr>
      <w:tr w:rsidR="00970514" w:rsidRPr="008D41CD" w:rsidTr="00970514">
        <w:tc>
          <w:tcPr>
            <w:tcW w:w="10502" w:type="dxa"/>
            <w:gridSpan w:val="4"/>
            <w:shd w:val="clear" w:color="auto" w:fill="D9D9D9" w:themeFill="background1" w:themeFillShade="D9"/>
          </w:tcPr>
          <w:p w:rsidR="00970514" w:rsidRPr="008D41CD" w:rsidRDefault="00970514" w:rsidP="008B0B8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8D41CD">
              <w:rPr>
                <w:rFonts w:ascii="Arial Black" w:hAnsi="Arial Black" w:cs="Arial"/>
                <w:sz w:val="16"/>
                <w:szCs w:val="16"/>
              </w:rPr>
              <w:t>Personal</w:t>
            </w:r>
          </w:p>
        </w:tc>
      </w:tr>
      <w:tr w:rsidR="00970514" w:rsidTr="00970514">
        <w:tc>
          <w:tcPr>
            <w:tcW w:w="1825" w:type="dxa"/>
            <w:vAlign w:val="center"/>
          </w:tcPr>
          <w:p w:rsidR="00970514" w:rsidRPr="00B3586F" w:rsidRDefault="00970514" w:rsidP="008B0B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86F">
              <w:rPr>
                <w:rFonts w:ascii="Arial" w:hAnsi="Arial" w:cs="Arial"/>
                <w:sz w:val="16"/>
                <w:szCs w:val="16"/>
              </w:rPr>
              <w:t>Aval</w:t>
            </w:r>
          </w:p>
        </w:tc>
        <w:tc>
          <w:tcPr>
            <w:tcW w:w="1719" w:type="dxa"/>
            <w:vAlign w:val="center"/>
          </w:tcPr>
          <w:p w:rsidR="00970514" w:rsidRPr="00B3586F" w:rsidRDefault="00970514" w:rsidP="008B0B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86F">
              <w:rPr>
                <w:rFonts w:ascii="Arial" w:hAnsi="Arial" w:cs="Arial"/>
                <w:sz w:val="16"/>
                <w:szCs w:val="16"/>
              </w:rPr>
              <w:t>Hasta el 100% de su capacidad de pago demostrado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828" w:type="dxa"/>
          </w:tcPr>
          <w:p w:rsidR="00970514" w:rsidRDefault="00970514" w:rsidP="008B0B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76F03">
              <w:rPr>
                <w:rFonts w:ascii="Arial" w:hAnsi="Arial" w:cs="Arial"/>
                <w:sz w:val="16"/>
                <w:szCs w:val="16"/>
              </w:rPr>
              <w:t xml:space="preserve">El avalista deberá firmar los pagarés que formalicen el financiamiento con la leyenda "por aval" y especificar el importe de su responsabilidad; de no hacerlo, se entenderá que garantiza el total del documento. </w:t>
            </w:r>
            <w:r w:rsidRPr="00B91FC9">
              <w:rPr>
                <w:rFonts w:ascii="Arial" w:hAnsi="Arial" w:cs="Arial"/>
                <w:sz w:val="16"/>
                <w:szCs w:val="16"/>
              </w:rPr>
              <w:t>En el expediente de inversión se registrarán los bienes propiedad del avalista,</w:t>
            </w:r>
            <w:r w:rsidRPr="00D76F03">
              <w:rPr>
                <w:rFonts w:ascii="Arial" w:hAnsi="Arial" w:cs="Arial"/>
                <w:sz w:val="16"/>
                <w:szCs w:val="16"/>
              </w:rPr>
              <w:t xml:space="preserve"> quien deberá proporcionar copia de los documentos comprobatorios de su legal propiedad, o bien mediante su relación patrimonial, detallando sus propiedades y sus registros cuando procedan y firmando bajo protesta de decir verdad, por lo que el </w:t>
            </w:r>
            <w:r>
              <w:rPr>
                <w:rFonts w:ascii="Arial" w:hAnsi="Arial" w:cs="Arial"/>
                <w:sz w:val="16"/>
                <w:szCs w:val="16"/>
              </w:rPr>
              <w:t xml:space="preserve">FOCIR </w:t>
            </w:r>
            <w:r w:rsidRPr="00D76F03">
              <w:rPr>
                <w:rFonts w:ascii="Arial" w:hAnsi="Arial" w:cs="Arial"/>
                <w:sz w:val="16"/>
                <w:szCs w:val="16"/>
              </w:rPr>
              <w:t>verificará su existencia.</w:t>
            </w:r>
          </w:p>
          <w:p w:rsidR="00970514" w:rsidRPr="00D76F03" w:rsidRDefault="00970514" w:rsidP="008B0B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7" w:type="dxa"/>
          </w:tcPr>
          <w:p w:rsidR="00970514" w:rsidRPr="00D76F03" w:rsidRDefault="00970514" w:rsidP="008B0B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76F03">
              <w:rPr>
                <w:rFonts w:ascii="Arial" w:hAnsi="Arial" w:cs="Arial"/>
                <w:sz w:val="16"/>
                <w:szCs w:val="16"/>
              </w:rPr>
              <w:t>Al presentarse la falta de pago, se notificará por escrito el requerimiento al avalista y de no pagarse en los plazos determinados, se turnará al área encargada del seguimiento y recuperación de cartera.</w:t>
            </w:r>
          </w:p>
        </w:tc>
      </w:tr>
      <w:tr w:rsidR="00970514" w:rsidTr="00970514">
        <w:tc>
          <w:tcPr>
            <w:tcW w:w="1825" w:type="dxa"/>
            <w:vAlign w:val="center"/>
          </w:tcPr>
          <w:p w:rsidR="00970514" w:rsidRPr="00B3586F" w:rsidRDefault="00970514" w:rsidP="008B0B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86F">
              <w:rPr>
                <w:rFonts w:ascii="Arial" w:hAnsi="Arial" w:cs="Arial"/>
                <w:sz w:val="16"/>
                <w:szCs w:val="16"/>
              </w:rPr>
              <w:t>Deudor</w:t>
            </w:r>
            <w:r>
              <w:rPr>
                <w:rFonts w:ascii="Arial" w:hAnsi="Arial" w:cs="Arial"/>
                <w:sz w:val="16"/>
                <w:szCs w:val="16"/>
              </w:rPr>
              <w:t>- Obligado</w:t>
            </w:r>
            <w:r w:rsidRPr="00B3586F">
              <w:rPr>
                <w:rFonts w:ascii="Arial" w:hAnsi="Arial" w:cs="Arial"/>
                <w:sz w:val="16"/>
                <w:szCs w:val="16"/>
              </w:rPr>
              <w:t xml:space="preserve"> solidario</w:t>
            </w:r>
          </w:p>
        </w:tc>
        <w:tc>
          <w:tcPr>
            <w:tcW w:w="1719" w:type="dxa"/>
            <w:vAlign w:val="center"/>
          </w:tcPr>
          <w:p w:rsidR="00970514" w:rsidRPr="00B3586F" w:rsidRDefault="00970514" w:rsidP="008B0B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86F">
              <w:rPr>
                <w:rFonts w:ascii="Arial" w:hAnsi="Arial" w:cs="Arial"/>
                <w:sz w:val="16"/>
                <w:szCs w:val="16"/>
              </w:rPr>
              <w:t>Hasta el 100% de su capacidad de pago demostrado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828" w:type="dxa"/>
          </w:tcPr>
          <w:p w:rsidR="00970514" w:rsidRDefault="00970514" w:rsidP="008B0B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76F03">
              <w:rPr>
                <w:rFonts w:ascii="Arial" w:hAnsi="Arial" w:cs="Arial"/>
                <w:sz w:val="16"/>
                <w:szCs w:val="16"/>
              </w:rPr>
              <w:t xml:space="preserve">El deudor solidario deberá firmar como tal en el contrato de instrumento de inversión. </w:t>
            </w:r>
            <w:r w:rsidRPr="00B91FC9">
              <w:rPr>
                <w:rFonts w:ascii="Arial" w:hAnsi="Arial" w:cs="Arial"/>
                <w:sz w:val="16"/>
                <w:szCs w:val="16"/>
              </w:rPr>
              <w:t>En el expediente de inversión se registrarán los bienes propiedad del deudor solidario, quien deberá proporcionar copia de los documentos comprobatorios de su legal propiedad, o bien mediante su relación patrimonial, detallando sus propiedades y sus registros cuando procedan y firmando bajo protesta de decir verdad</w:t>
            </w:r>
            <w:r w:rsidRPr="00D76F03">
              <w:rPr>
                <w:rFonts w:ascii="Arial" w:hAnsi="Arial" w:cs="Arial"/>
                <w:sz w:val="16"/>
                <w:szCs w:val="16"/>
              </w:rPr>
              <w:t xml:space="preserve">, por lo que el </w:t>
            </w:r>
            <w:r>
              <w:rPr>
                <w:rFonts w:ascii="Arial" w:hAnsi="Arial" w:cs="Arial"/>
                <w:sz w:val="16"/>
                <w:szCs w:val="16"/>
              </w:rPr>
              <w:t>FOCIR</w:t>
            </w:r>
            <w:r w:rsidRPr="00D76F03">
              <w:rPr>
                <w:rFonts w:ascii="Arial" w:hAnsi="Arial" w:cs="Arial"/>
                <w:sz w:val="16"/>
                <w:szCs w:val="16"/>
              </w:rPr>
              <w:t xml:space="preserve"> verificará su existencia.</w:t>
            </w:r>
          </w:p>
          <w:p w:rsidR="00970514" w:rsidRPr="00D76F03" w:rsidRDefault="00970514" w:rsidP="008B0B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7" w:type="dxa"/>
          </w:tcPr>
          <w:p w:rsidR="00970514" w:rsidRPr="00D76F03" w:rsidRDefault="00970514" w:rsidP="008B0B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76F03">
              <w:rPr>
                <w:rFonts w:ascii="Arial" w:hAnsi="Arial" w:cs="Arial"/>
                <w:sz w:val="16"/>
                <w:szCs w:val="16"/>
              </w:rPr>
              <w:t>Al presentarse la falta de pago se notificará por escrito el requerimiento al deudor solidario y, de no pagarse en los plazos determinados, se turnará al área encargada del seguimiento y recuperación de cartera.</w:t>
            </w:r>
          </w:p>
        </w:tc>
      </w:tr>
      <w:tr w:rsidR="00970514" w:rsidTr="00970514">
        <w:tc>
          <w:tcPr>
            <w:tcW w:w="1825" w:type="dxa"/>
            <w:vAlign w:val="center"/>
          </w:tcPr>
          <w:p w:rsidR="00970514" w:rsidRPr="00B3586F" w:rsidRDefault="00970514" w:rsidP="008B0B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Fianza de c</w:t>
            </w:r>
            <w:r w:rsidRPr="00B3586F">
              <w:rPr>
                <w:rFonts w:ascii="Arial" w:hAnsi="Arial" w:cs="Arial"/>
                <w:sz w:val="16"/>
                <w:szCs w:val="16"/>
              </w:rPr>
              <w:t>rédito</w:t>
            </w:r>
          </w:p>
        </w:tc>
        <w:tc>
          <w:tcPr>
            <w:tcW w:w="1719" w:type="dxa"/>
            <w:vAlign w:val="center"/>
          </w:tcPr>
          <w:p w:rsidR="00970514" w:rsidRPr="00B3586F" w:rsidRDefault="00970514" w:rsidP="008B0B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FC9">
              <w:rPr>
                <w:rFonts w:ascii="Arial" w:hAnsi="Arial" w:cs="Arial"/>
                <w:sz w:val="16"/>
                <w:szCs w:val="16"/>
              </w:rPr>
              <w:t>El 100% del monto afianzado en la póliza.</w:t>
            </w:r>
          </w:p>
        </w:tc>
        <w:tc>
          <w:tcPr>
            <w:tcW w:w="3828" w:type="dxa"/>
          </w:tcPr>
          <w:p w:rsidR="00970514" w:rsidRPr="00D76F03" w:rsidRDefault="00970514" w:rsidP="008B0B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1FC9">
              <w:rPr>
                <w:rFonts w:ascii="Arial" w:hAnsi="Arial" w:cs="Arial"/>
                <w:sz w:val="16"/>
                <w:szCs w:val="16"/>
              </w:rPr>
              <w:t xml:space="preserve">En el expediente de inversión se registrarán </w:t>
            </w:r>
            <w:r>
              <w:rPr>
                <w:rFonts w:ascii="Arial" w:hAnsi="Arial" w:cs="Arial"/>
                <w:sz w:val="16"/>
                <w:szCs w:val="16"/>
              </w:rPr>
              <w:t xml:space="preserve">la póliza vigente por la institución de Fianza correspondiente, </w:t>
            </w:r>
            <w:r w:rsidRPr="00D76F03">
              <w:rPr>
                <w:rFonts w:ascii="Arial" w:hAnsi="Arial" w:cs="Arial"/>
                <w:sz w:val="16"/>
                <w:szCs w:val="16"/>
              </w:rPr>
              <w:t xml:space="preserve">por lo que el </w:t>
            </w:r>
            <w:r>
              <w:rPr>
                <w:rFonts w:ascii="Arial" w:hAnsi="Arial" w:cs="Arial"/>
                <w:sz w:val="16"/>
                <w:szCs w:val="16"/>
              </w:rPr>
              <w:t>FOCIR</w:t>
            </w:r>
            <w:r w:rsidRPr="00D76F03">
              <w:rPr>
                <w:rFonts w:ascii="Arial" w:hAnsi="Arial" w:cs="Arial"/>
                <w:sz w:val="16"/>
                <w:szCs w:val="16"/>
              </w:rPr>
              <w:t xml:space="preserve"> verificará su existencia</w:t>
            </w:r>
            <w:r>
              <w:rPr>
                <w:rFonts w:ascii="Arial" w:hAnsi="Arial" w:cs="Arial"/>
                <w:sz w:val="16"/>
                <w:szCs w:val="16"/>
              </w:rPr>
              <w:t>. FOCIR podrá solicitar la actualización y/o cambio de este tipo de garantías.</w:t>
            </w:r>
          </w:p>
        </w:tc>
        <w:tc>
          <w:tcPr>
            <w:tcW w:w="3127" w:type="dxa"/>
          </w:tcPr>
          <w:p w:rsidR="00970514" w:rsidRDefault="00970514" w:rsidP="008B0B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76F03">
              <w:rPr>
                <w:rFonts w:ascii="Arial" w:hAnsi="Arial" w:cs="Arial"/>
                <w:sz w:val="16"/>
                <w:szCs w:val="16"/>
              </w:rPr>
              <w:t xml:space="preserve">Al presentarse la falta de pago se notificará por escrito el requerimiento al </w:t>
            </w:r>
            <w:r>
              <w:rPr>
                <w:rFonts w:ascii="Arial" w:hAnsi="Arial" w:cs="Arial"/>
                <w:sz w:val="16"/>
                <w:szCs w:val="16"/>
              </w:rPr>
              <w:t xml:space="preserve">deudor </w:t>
            </w:r>
            <w:r w:rsidRPr="00D76F03">
              <w:rPr>
                <w:rFonts w:ascii="Arial" w:hAnsi="Arial" w:cs="Arial"/>
                <w:sz w:val="16"/>
                <w:szCs w:val="16"/>
              </w:rPr>
              <w:t xml:space="preserve">y, de no pagarse en los </w:t>
            </w:r>
            <w:r>
              <w:rPr>
                <w:rFonts w:ascii="Arial" w:hAnsi="Arial" w:cs="Arial"/>
                <w:sz w:val="16"/>
                <w:szCs w:val="16"/>
              </w:rPr>
              <w:t>plazos determinados, se solicitará a la afianzadora hacer efectiva la fianza otorgada en garantía, por el monto total del crédito</w:t>
            </w:r>
            <w:r w:rsidRPr="00D76F03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70514" w:rsidRPr="00D76F03" w:rsidRDefault="00970514" w:rsidP="008B0B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0514" w:rsidTr="00970514">
        <w:tc>
          <w:tcPr>
            <w:tcW w:w="10502" w:type="dxa"/>
            <w:gridSpan w:val="4"/>
            <w:shd w:val="clear" w:color="auto" w:fill="D9D9D9" w:themeFill="background1" w:themeFillShade="D9"/>
          </w:tcPr>
          <w:p w:rsidR="00970514" w:rsidRDefault="00970514" w:rsidP="008B0B88">
            <w:pPr>
              <w:jc w:val="center"/>
            </w:pPr>
            <w:r w:rsidRPr="00B3586F">
              <w:rPr>
                <w:rFonts w:ascii="Arial Black" w:hAnsi="Arial Black" w:cs="Arial"/>
                <w:sz w:val="16"/>
                <w:szCs w:val="16"/>
              </w:rPr>
              <w:t>Prendaria</w:t>
            </w:r>
          </w:p>
        </w:tc>
      </w:tr>
      <w:tr w:rsidR="00970514" w:rsidTr="00970514">
        <w:tc>
          <w:tcPr>
            <w:tcW w:w="1825" w:type="dxa"/>
            <w:vAlign w:val="center"/>
          </w:tcPr>
          <w:p w:rsidR="00970514" w:rsidRPr="008E5795" w:rsidRDefault="00970514" w:rsidP="008B0B88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1A4A70">
              <w:rPr>
                <w:rFonts w:ascii="Arial" w:hAnsi="Arial" w:cs="Arial"/>
                <w:sz w:val="16"/>
                <w:szCs w:val="16"/>
              </w:rPr>
              <w:t>Natural (prenda)</w:t>
            </w:r>
          </w:p>
        </w:tc>
        <w:tc>
          <w:tcPr>
            <w:tcW w:w="1719" w:type="dxa"/>
            <w:vAlign w:val="center"/>
          </w:tcPr>
          <w:p w:rsidR="00970514" w:rsidRPr="00B3586F" w:rsidRDefault="00970514" w:rsidP="008B0B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Hasta el 5</w:t>
            </w:r>
            <w:r w:rsidRPr="00B3586F">
              <w:rPr>
                <w:rFonts w:ascii="Arial" w:hAnsi="Arial" w:cs="Arial"/>
                <w:sz w:val="16"/>
                <w:szCs w:val="16"/>
              </w:rPr>
              <w:t xml:space="preserve">0% del valor </w:t>
            </w:r>
            <w:r>
              <w:rPr>
                <w:rFonts w:ascii="Arial" w:hAnsi="Arial" w:cs="Arial"/>
                <w:sz w:val="16"/>
                <w:szCs w:val="16"/>
              </w:rPr>
              <w:t>de</w:t>
            </w:r>
            <w:r w:rsidRPr="00B3586F">
              <w:rPr>
                <w:rFonts w:ascii="Arial" w:hAnsi="Arial" w:cs="Arial"/>
                <w:sz w:val="16"/>
                <w:szCs w:val="16"/>
              </w:rPr>
              <w:t xml:space="preserve"> prenda</w:t>
            </w:r>
            <w:r>
              <w:rPr>
                <w:rFonts w:ascii="Arial" w:hAnsi="Arial" w:cs="Arial"/>
                <w:sz w:val="16"/>
                <w:szCs w:val="16"/>
              </w:rPr>
              <w:t xml:space="preserve"> (depreciación)</w:t>
            </w:r>
          </w:p>
        </w:tc>
        <w:tc>
          <w:tcPr>
            <w:tcW w:w="3828" w:type="dxa"/>
          </w:tcPr>
          <w:p w:rsidR="00970514" w:rsidRPr="00D76F03" w:rsidRDefault="00970514" w:rsidP="008B0B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1FC9">
              <w:rPr>
                <w:rFonts w:ascii="Arial" w:hAnsi="Arial" w:cs="Arial"/>
                <w:sz w:val="16"/>
                <w:szCs w:val="16"/>
              </w:rPr>
              <w:t xml:space="preserve">En el expediente de inversión se registrarán los bienes </w:t>
            </w:r>
            <w:r>
              <w:rPr>
                <w:rFonts w:ascii="Arial" w:hAnsi="Arial" w:cs="Arial"/>
                <w:sz w:val="16"/>
                <w:szCs w:val="16"/>
              </w:rPr>
              <w:t xml:space="preserve">muebles otorgados en garantía, y el endoso correspondiente de las facturas que acrediten su legal propiedad, </w:t>
            </w:r>
            <w:r w:rsidRPr="00D76F03">
              <w:rPr>
                <w:rFonts w:ascii="Arial" w:hAnsi="Arial" w:cs="Arial"/>
                <w:sz w:val="16"/>
                <w:szCs w:val="16"/>
              </w:rPr>
              <w:t xml:space="preserve">por lo que el </w:t>
            </w:r>
            <w:r>
              <w:rPr>
                <w:rFonts w:ascii="Arial" w:hAnsi="Arial" w:cs="Arial"/>
                <w:sz w:val="16"/>
                <w:szCs w:val="16"/>
              </w:rPr>
              <w:t>FOCIR</w:t>
            </w:r>
            <w:r w:rsidRPr="00D76F03">
              <w:rPr>
                <w:rFonts w:ascii="Arial" w:hAnsi="Arial" w:cs="Arial"/>
                <w:sz w:val="16"/>
                <w:szCs w:val="16"/>
              </w:rPr>
              <w:t xml:space="preserve"> verificará su existencia</w:t>
            </w:r>
            <w:r>
              <w:rPr>
                <w:rFonts w:ascii="Arial" w:hAnsi="Arial" w:cs="Arial"/>
                <w:sz w:val="16"/>
                <w:szCs w:val="16"/>
              </w:rPr>
              <w:t>. FOCIR podrá solicitar la actualización y/o cambio de este tipo de garantías.</w:t>
            </w:r>
          </w:p>
        </w:tc>
        <w:tc>
          <w:tcPr>
            <w:tcW w:w="3127" w:type="dxa"/>
          </w:tcPr>
          <w:p w:rsidR="00970514" w:rsidRPr="00D76F03" w:rsidRDefault="00970514" w:rsidP="008B0B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76F03">
              <w:rPr>
                <w:rFonts w:ascii="Arial" w:hAnsi="Arial" w:cs="Arial"/>
                <w:sz w:val="16"/>
                <w:szCs w:val="16"/>
              </w:rPr>
              <w:t xml:space="preserve">Al presentarse la falta de pago se notificará por escrito el requerimiento al deudor </w:t>
            </w:r>
            <w:r>
              <w:rPr>
                <w:rFonts w:ascii="Arial" w:hAnsi="Arial" w:cs="Arial"/>
                <w:sz w:val="16"/>
                <w:szCs w:val="16"/>
              </w:rPr>
              <w:t xml:space="preserve">y </w:t>
            </w:r>
            <w:r w:rsidRPr="00D76F03">
              <w:rPr>
                <w:rFonts w:ascii="Arial" w:hAnsi="Arial" w:cs="Arial"/>
                <w:sz w:val="16"/>
                <w:szCs w:val="16"/>
              </w:rPr>
              <w:t>de no pagarse en los plazos determinados, se turnará al área encargada del segui</w:t>
            </w:r>
            <w:r>
              <w:rPr>
                <w:rFonts w:ascii="Arial" w:hAnsi="Arial" w:cs="Arial"/>
                <w:sz w:val="16"/>
                <w:szCs w:val="16"/>
              </w:rPr>
              <w:t>miento y recuperación de cartera vía judicial para hacer efectivo la garantía (demanda judicial).</w:t>
            </w:r>
          </w:p>
        </w:tc>
      </w:tr>
      <w:tr w:rsidR="00970514" w:rsidRPr="00BD4A4C" w:rsidTr="00970514">
        <w:tc>
          <w:tcPr>
            <w:tcW w:w="10502" w:type="dxa"/>
            <w:gridSpan w:val="4"/>
            <w:shd w:val="clear" w:color="auto" w:fill="D9D9D9" w:themeFill="background1" w:themeFillShade="D9"/>
          </w:tcPr>
          <w:p w:rsidR="00970514" w:rsidRPr="004C2118" w:rsidRDefault="00970514" w:rsidP="008B0B88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4C2118">
              <w:rPr>
                <w:rFonts w:ascii="Arial Black" w:hAnsi="Arial Black" w:cs="Arial"/>
                <w:sz w:val="16"/>
                <w:szCs w:val="16"/>
              </w:rPr>
              <w:t>Hipotecarias</w:t>
            </w:r>
          </w:p>
        </w:tc>
      </w:tr>
      <w:tr w:rsidR="00970514" w:rsidTr="00970514">
        <w:tc>
          <w:tcPr>
            <w:tcW w:w="1825" w:type="dxa"/>
            <w:vAlign w:val="center"/>
          </w:tcPr>
          <w:p w:rsidR="00970514" w:rsidRPr="00203179" w:rsidRDefault="00970514" w:rsidP="008B0B88">
            <w:pPr>
              <w:rPr>
                <w:rFonts w:ascii="Arial" w:hAnsi="Arial" w:cs="Arial"/>
                <w:sz w:val="16"/>
                <w:szCs w:val="16"/>
              </w:rPr>
            </w:pPr>
            <w:r w:rsidRPr="00203179">
              <w:rPr>
                <w:rFonts w:ascii="Arial" w:hAnsi="Arial" w:cs="Arial"/>
                <w:sz w:val="16"/>
                <w:szCs w:val="16"/>
              </w:rPr>
              <w:t>Bienes inmuebles adquiridos o construidos con el financiamiento</w:t>
            </w:r>
          </w:p>
        </w:tc>
        <w:tc>
          <w:tcPr>
            <w:tcW w:w="1719" w:type="dxa"/>
            <w:vAlign w:val="center"/>
          </w:tcPr>
          <w:p w:rsidR="00970514" w:rsidRPr="00B3586F" w:rsidRDefault="00970514" w:rsidP="008B0B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Hasta el 8</w:t>
            </w:r>
            <w:r w:rsidRPr="00B3586F">
              <w:rPr>
                <w:rFonts w:ascii="Arial" w:hAnsi="Arial" w:cs="Arial"/>
                <w:sz w:val="16"/>
                <w:szCs w:val="16"/>
              </w:rPr>
              <w:t>0% del v</w:t>
            </w:r>
            <w:r>
              <w:rPr>
                <w:rFonts w:ascii="Arial" w:hAnsi="Arial" w:cs="Arial"/>
                <w:sz w:val="16"/>
                <w:szCs w:val="16"/>
              </w:rPr>
              <w:t xml:space="preserve">alor de dictamen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valuatorio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 del avalúo bancario o estimación de v</w:t>
            </w:r>
            <w:r w:rsidRPr="00B3586F">
              <w:rPr>
                <w:rFonts w:ascii="Arial" w:hAnsi="Arial" w:cs="Arial"/>
                <w:sz w:val="16"/>
                <w:szCs w:val="16"/>
              </w:rPr>
              <w:t>alor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828" w:type="dxa"/>
          </w:tcPr>
          <w:p w:rsidR="00970514" w:rsidRDefault="00970514" w:rsidP="008B0B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76F03">
              <w:rPr>
                <w:rFonts w:ascii="Arial" w:hAnsi="Arial" w:cs="Arial"/>
                <w:sz w:val="16"/>
                <w:szCs w:val="16"/>
              </w:rPr>
              <w:t>Se constituye mediante hipoteca en escritura pública, conforme a la legislación de cada Estado, ante fedatario público, inscribiéndose ante el Re</w:t>
            </w:r>
            <w:r>
              <w:rPr>
                <w:rFonts w:ascii="Arial" w:hAnsi="Arial" w:cs="Arial"/>
                <w:sz w:val="16"/>
                <w:szCs w:val="16"/>
              </w:rPr>
              <w:t>gistro Público correspondiente.</w:t>
            </w:r>
          </w:p>
          <w:p w:rsidR="00970514" w:rsidRDefault="00970514" w:rsidP="008B0B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70514" w:rsidRPr="00D76F03" w:rsidRDefault="00970514" w:rsidP="008B0B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76F03">
              <w:rPr>
                <w:rFonts w:ascii="Arial" w:hAnsi="Arial" w:cs="Arial"/>
                <w:sz w:val="16"/>
                <w:szCs w:val="16"/>
              </w:rPr>
              <w:t xml:space="preserve">El contrato de instrumento de inversión deberá detallarse en la escritura pública. </w:t>
            </w:r>
            <w:r>
              <w:rPr>
                <w:rFonts w:ascii="Arial" w:hAnsi="Arial" w:cs="Arial"/>
                <w:sz w:val="16"/>
                <w:szCs w:val="16"/>
              </w:rPr>
              <w:t>Solo se podrán aceptar</w:t>
            </w:r>
            <w:r w:rsidRPr="0046144E">
              <w:rPr>
                <w:rFonts w:ascii="Arial" w:hAnsi="Arial" w:cs="Arial"/>
                <w:sz w:val="16"/>
                <w:szCs w:val="16"/>
              </w:rPr>
              <w:t xml:space="preserve"> bienes inmuebles urbanos, libres</w:t>
            </w:r>
            <w:r>
              <w:rPr>
                <w:rFonts w:ascii="Arial" w:hAnsi="Arial" w:cs="Arial"/>
                <w:sz w:val="16"/>
                <w:szCs w:val="16"/>
              </w:rPr>
              <w:t xml:space="preserve"> de gravámenes, inscritos en el </w:t>
            </w:r>
            <w:r w:rsidRPr="0046144E">
              <w:rPr>
                <w:rFonts w:ascii="Arial" w:hAnsi="Arial" w:cs="Arial"/>
                <w:sz w:val="16"/>
                <w:szCs w:val="16"/>
              </w:rPr>
              <w:t>Registro Público de la Propiedad que corresponda.</w:t>
            </w:r>
          </w:p>
        </w:tc>
        <w:tc>
          <w:tcPr>
            <w:tcW w:w="3127" w:type="dxa"/>
          </w:tcPr>
          <w:p w:rsidR="00970514" w:rsidRPr="00D76F03" w:rsidRDefault="00970514" w:rsidP="008B0B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76F03">
              <w:rPr>
                <w:rFonts w:ascii="Arial" w:hAnsi="Arial" w:cs="Arial"/>
                <w:sz w:val="16"/>
                <w:szCs w:val="16"/>
              </w:rPr>
              <w:t xml:space="preserve">Al presentarse la falta de pago se notificará por escrito el requerimiento al deudor </w:t>
            </w:r>
            <w:r>
              <w:rPr>
                <w:rFonts w:ascii="Arial" w:hAnsi="Arial" w:cs="Arial"/>
                <w:sz w:val="16"/>
                <w:szCs w:val="16"/>
              </w:rPr>
              <w:t xml:space="preserve">y </w:t>
            </w:r>
            <w:r w:rsidRPr="00D76F03">
              <w:rPr>
                <w:rFonts w:ascii="Arial" w:hAnsi="Arial" w:cs="Arial"/>
                <w:sz w:val="16"/>
                <w:szCs w:val="16"/>
              </w:rPr>
              <w:t>de no pagarse en los plazos determinados, se turnará al área encargada del segui</w:t>
            </w:r>
            <w:r>
              <w:rPr>
                <w:rFonts w:ascii="Arial" w:hAnsi="Arial" w:cs="Arial"/>
                <w:sz w:val="16"/>
                <w:szCs w:val="16"/>
              </w:rPr>
              <w:t>miento y recuperación de cartera vía judicial para hacer efectivo la garantía (demanda judicial).</w:t>
            </w:r>
          </w:p>
        </w:tc>
      </w:tr>
      <w:tr w:rsidR="00970514" w:rsidTr="00970514">
        <w:tc>
          <w:tcPr>
            <w:tcW w:w="1825" w:type="dxa"/>
            <w:vAlign w:val="center"/>
          </w:tcPr>
          <w:p w:rsidR="00970514" w:rsidRPr="00203179" w:rsidRDefault="00970514" w:rsidP="008B0B88">
            <w:pPr>
              <w:rPr>
                <w:rFonts w:ascii="Arial" w:hAnsi="Arial" w:cs="Arial"/>
                <w:sz w:val="16"/>
                <w:szCs w:val="16"/>
              </w:rPr>
            </w:pPr>
            <w:r w:rsidRPr="00203179">
              <w:rPr>
                <w:rFonts w:ascii="Arial" w:hAnsi="Arial" w:cs="Arial"/>
                <w:sz w:val="16"/>
                <w:szCs w:val="16"/>
              </w:rPr>
              <w:t>Bienes inmuebles adicionales o colaterales</w:t>
            </w:r>
          </w:p>
        </w:tc>
        <w:tc>
          <w:tcPr>
            <w:tcW w:w="1719" w:type="dxa"/>
            <w:vAlign w:val="center"/>
          </w:tcPr>
          <w:p w:rsidR="00970514" w:rsidRPr="00B3586F" w:rsidRDefault="00970514" w:rsidP="008B0B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Hasta el 8</w:t>
            </w:r>
            <w:r w:rsidRPr="00B3586F">
              <w:rPr>
                <w:rFonts w:ascii="Arial" w:hAnsi="Arial" w:cs="Arial"/>
                <w:sz w:val="16"/>
                <w:szCs w:val="16"/>
              </w:rPr>
              <w:t>0% del v</w:t>
            </w:r>
            <w:r>
              <w:rPr>
                <w:rFonts w:ascii="Arial" w:hAnsi="Arial" w:cs="Arial"/>
                <w:sz w:val="16"/>
                <w:szCs w:val="16"/>
              </w:rPr>
              <w:t xml:space="preserve">alor de dictamen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valuatorio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 del avalúo bancario o estimación de v</w:t>
            </w:r>
            <w:r w:rsidRPr="00B3586F">
              <w:rPr>
                <w:rFonts w:ascii="Arial" w:hAnsi="Arial" w:cs="Arial"/>
                <w:sz w:val="16"/>
                <w:szCs w:val="16"/>
              </w:rPr>
              <w:t>alor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828" w:type="dxa"/>
          </w:tcPr>
          <w:p w:rsidR="00970514" w:rsidRDefault="00970514" w:rsidP="008B0B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76F03">
              <w:rPr>
                <w:rFonts w:ascii="Arial" w:hAnsi="Arial" w:cs="Arial"/>
                <w:sz w:val="16"/>
                <w:szCs w:val="16"/>
              </w:rPr>
              <w:t>Se constituye mediante hipoteca en escritura pública, conforme a la legislación de cada Estado, ante fedatario público, inscribiéndose ante el Re</w:t>
            </w:r>
            <w:r>
              <w:rPr>
                <w:rFonts w:ascii="Arial" w:hAnsi="Arial" w:cs="Arial"/>
                <w:sz w:val="16"/>
                <w:szCs w:val="16"/>
              </w:rPr>
              <w:t>gistro Público correspondiente.</w:t>
            </w:r>
          </w:p>
          <w:p w:rsidR="00970514" w:rsidRDefault="00970514" w:rsidP="008B0B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70514" w:rsidRPr="00D76F03" w:rsidRDefault="00970514" w:rsidP="008B0B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76F03">
              <w:rPr>
                <w:rFonts w:ascii="Arial" w:hAnsi="Arial" w:cs="Arial"/>
                <w:sz w:val="16"/>
                <w:szCs w:val="16"/>
              </w:rPr>
              <w:t xml:space="preserve">El contrato de instrumento de inversión deberá detallarse en la escritura pública. </w:t>
            </w:r>
            <w:r>
              <w:rPr>
                <w:rFonts w:ascii="Arial" w:hAnsi="Arial" w:cs="Arial"/>
                <w:sz w:val="16"/>
                <w:szCs w:val="16"/>
              </w:rPr>
              <w:t>Solo se podrán aceptar</w:t>
            </w:r>
            <w:r w:rsidRPr="0046144E">
              <w:rPr>
                <w:rFonts w:ascii="Arial" w:hAnsi="Arial" w:cs="Arial"/>
                <w:sz w:val="16"/>
                <w:szCs w:val="16"/>
              </w:rPr>
              <w:t xml:space="preserve"> bienes inmuebles urbanos, libres</w:t>
            </w:r>
            <w:r>
              <w:rPr>
                <w:rFonts w:ascii="Arial" w:hAnsi="Arial" w:cs="Arial"/>
                <w:sz w:val="16"/>
                <w:szCs w:val="16"/>
              </w:rPr>
              <w:t xml:space="preserve"> de gravámenes, inscritos en el </w:t>
            </w:r>
            <w:r w:rsidRPr="0046144E">
              <w:rPr>
                <w:rFonts w:ascii="Arial" w:hAnsi="Arial" w:cs="Arial"/>
                <w:sz w:val="16"/>
                <w:szCs w:val="16"/>
              </w:rPr>
              <w:t>Registro Público de la Propiedad que corresponda.</w:t>
            </w:r>
          </w:p>
        </w:tc>
        <w:tc>
          <w:tcPr>
            <w:tcW w:w="3127" w:type="dxa"/>
          </w:tcPr>
          <w:p w:rsidR="00970514" w:rsidRPr="00D76F03" w:rsidRDefault="00970514" w:rsidP="008B0B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76F03">
              <w:rPr>
                <w:rFonts w:ascii="Arial" w:hAnsi="Arial" w:cs="Arial"/>
                <w:sz w:val="16"/>
                <w:szCs w:val="16"/>
              </w:rPr>
              <w:t xml:space="preserve">Al presentarse la falta de pago se notificará por escrito el requerimiento al deudor </w:t>
            </w:r>
            <w:r>
              <w:rPr>
                <w:rFonts w:ascii="Arial" w:hAnsi="Arial" w:cs="Arial"/>
                <w:sz w:val="16"/>
                <w:szCs w:val="16"/>
              </w:rPr>
              <w:t xml:space="preserve">y </w:t>
            </w:r>
            <w:r w:rsidRPr="00D76F03">
              <w:rPr>
                <w:rFonts w:ascii="Arial" w:hAnsi="Arial" w:cs="Arial"/>
                <w:sz w:val="16"/>
                <w:szCs w:val="16"/>
              </w:rPr>
              <w:t>de no pagarse en los plazos determinados, se turnará al área encargada del segui</w:t>
            </w:r>
            <w:r>
              <w:rPr>
                <w:rFonts w:ascii="Arial" w:hAnsi="Arial" w:cs="Arial"/>
                <w:sz w:val="16"/>
                <w:szCs w:val="16"/>
              </w:rPr>
              <w:t>miento y recuperación de cartera vía judicial para hacer efectivo la garantía (demanda judicial).</w:t>
            </w:r>
          </w:p>
        </w:tc>
      </w:tr>
    </w:tbl>
    <w:p w:rsidR="00970514" w:rsidRPr="00970514" w:rsidRDefault="00970514" w:rsidP="00970514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970514" w:rsidRPr="009705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14"/>
    <w:rsid w:val="00692711"/>
    <w:rsid w:val="00970514"/>
    <w:rsid w:val="00D5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BB60E-8A7C-48B0-83B0-DF955564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705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70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689</Words>
  <Characters>3791</Characters>
  <Application>Microsoft Office Word</Application>
  <DocSecurity>4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Gastélum Valdez</dc:creator>
  <cp:keywords/>
  <dc:description/>
  <cp:lastModifiedBy>Janet Gastélum</cp:lastModifiedBy>
  <cp:revision>2</cp:revision>
  <dcterms:created xsi:type="dcterms:W3CDTF">2017-08-24T18:18:00Z</dcterms:created>
  <dcterms:modified xsi:type="dcterms:W3CDTF">2017-08-24T18:18:00Z</dcterms:modified>
</cp:coreProperties>
</file>